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3A8" w:rsidRPr="003673A8" w:rsidRDefault="003673A8" w:rsidP="003673A8">
      <w:pPr>
        <w:autoSpaceDE w:val="0"/>
        <w:autoSpaceDN w:val="0"/>
        <w:adjustRightInd w:val="0"/>
        <w:spacing w:after="0" w:line="240" w:lineRule="auto"/>
        <w:rPr>
          <w:rFonts w:ascii="Verdana" w:hAnsi="Verdana" w:cs="Arial"/>
          <w:b/>
          <w:bCs/>
          <w:color w:val="000000"/>
        </w:rPr>
      </w:pPr>
      <w:r w:rsidRPr="003673A8">
        <w:rPr>
          <w:rFonts w:ascii="Verdana" w:hAnsi="Verdana" w:cs="Arial"/>
          <w:b/>
          <w:bCs/>
          <w:color w:val="000000"/>
        </w:rPr>
        <w:t>GUIDA UNAC N. 1</w:t>
      </w:r>
    </w:p>
    <w:p w:rsidR="003673A8" w:rsidRPr="003673A8" w:rsidRDefault="003673A8" w:rsidP="003673A8">
      <w:pPr>
        <w:autoSpaceDE w:val="0"/>
        <w:autoSpaceDN w:val="0"/>
        <w:adjustRightInd w:val="0"/>
        <w:spacing w:after="0" w:line="240" w:lineRule="auto"/>
        <w:rPr>
          <w:rFonts w:ascii="Verdana" w:hAnsi="Verdana" w:cs="Arial"/>
          <w:b/>
          <w:bCs/>
          <w:color w:val="000000"/>
        </w:rPr>
      </w:pPr>
      <w:r w:rsidRPr="003673A8">
        <w:rPr>
          <w:rFonts w:ascii="Verdana" w:hAnsi="Verdana" w:cs="Arial"/>
          <w:b/>
          <w:bCs/>
          <w:color w:val="000000"/>
        </w:rPr>
        <w:t>PER LA MOTORIZZAZIONE DEI CANCELLI SCORREVOLI</w:t>
      </w:r>
    </w:p>
    <w:p w:rsidR="003673A8" w:rsidRPr="003673A8" w:rsidRDefault="003673A8" w:rsidP="003673A8">
      <w:pPr>
        <w:autoSpaceDE w:val="0"/>
        <w:autoSpaceDN w:val="0"/>
        <w:adjustRightInd w:val="0"/>
        <w:spacing w:after="0" w:line="240" w:lineRule="auto"/>
        <w:rPr>
          <w:rFonts w:ascii="Verdana" w:hAnsi="Verdana" w:cs="Arial"/>
          <w:b/>
          <w:bCs/>
          <w:color w:val="000000"/>
          <w:sz w:val="18"/>
          <w:szCs w:val="18"/>
        </w:rPr>
      </w:pPr>
      <w:r w:rsidRPr="003673A8">
        <w:rPr>
          <w:rFonts w:ascii="Verdana" w:hAnsi="Verdana" w:cs="Arial"/>
          <w:b/>
          <w:bCs/>
          <w:color w:val="000000"/>
          <w:sz w:val="18"/>
          <w:szCs w:val="18"/>
        </w:rPr>
        <w:t>IN CONFORMITÀ ALLA DIRETTIVA MACCHINE 2006/42/CE</w:t>
      </w:r>
    </w:p>
    <w:p w:rsidR="003673A8" w:rsidRPr="003673A8" w:rsidRDefault="003673A8" w:rsidP="003673A8">
      <w:pPr>
        <w:autoSpaceDE w:val="0"/>
        <w:autoSpaceDN w:val="0"/>
        <w:adjustRightInd w:val="0"/>
        <w:spacing w:after="0" w:line="240" w:lineRule="auto"/>
        <w:rPr>
          <w:rFonts w:ascii="Verdana" w:hAnsi="Verdana" w:cs="Arial"/>
          <w:b/>
          <w:bCs/>
          <w:color w:val="000000"/>
          <w:sz w:val="18"/>
          <w:szCs w:val="18"/>
        </w:rPr>
      </w:pPr>
      <w:r w:rsidRPr="003673A8">
        <w:rPr>
          <w:rFonts w:ascii="Verdana" w:hAnsi="Verdana" w:cs="Arial"/>
          <w:b/>
          <w:bCs/>
          <w:color w:val="000000"/>
          <w:sz w:val="18"/>
          <w:szCs w:val="18"/>
        </w:rPr>
        <w:t>E ALLE PARTI APPLICABILI DELLE NORME EN 13241-1, EN 12453, EN 12445</w:t>
      </w:r>
    </w:p>
    <w:p w:rsidR="003673A8" w:rsidRDefault="003673A8" w:rsidP="003673A8">
      <w:pPr>
        <w:autoSpaceDE w:val="0"/>
        <w:autoSpaceDN w:val="0"/>
        <w:adjustRightInd w:val="0"/>
        <w:spacing w:after="0" w:line="240" w:lineRule="auto"/>
        <w:rPr>
          <w:rFonts w:ascii="Arial" w:hAnsi="Arial" w:cs="Arial"/>
          <w:i/>
          <w:iCs/>
          <w:color w:val="000000"/>
          <w:sz w:val="18"/>
          <w:szCs w:val="18"/>
        </w:rPr>
      </w:pPr>
    </w:p>
    <w:p w:rsidR="003673A8" w:rsidRPr="003673A8" w:rsidRDefault="003673A8" w:rsidP="003673A8">
      <w:pPr>
        <w:autoSpaceDE w:val="0"/>
        <w:autoSpaceDN w:val="0"/>
        <w:adjustRightInd w:val="0"/>
        <w:spacing w:after="0" w:line="240" w:lineRule="auto"/>
        <w:rPr>
          <w:rFonts w:ascii="Verdana" w:hAnsi="Verdana" w:cs="Arial"/>
          <w:i/>
          <w:iCs/>
          <w:color w:val="000000"/>
          <w:sz w:val="18"/>
          <w:szCs w:val="18"/>
        </w:rPr>
      </w:pPr>
      <w:r w:rsidRPr="003673A8">
        <w:rPr>
          <w:rFonts w:ascii="Verdana" w:hAnsi="Verdana" w:cs="Arial"/>
          <w:i/>
          <w:iCs/>
          <w:color w:val="000000"/>
          <w:sz w:val="18"/>
          <w:szCs w:val="18"/>
        </w:rPr>
        <w:t xml:space="preserve">Si comunica che a partire dal 6 Marzo 2010 è entrata in vigore la nuova Direttiva Macchine recepita dal </w:t>
      </w:r>
      <w:proofErr w:type="spellStart"/>
      <w:r w:rsidRPr="00B678DA">
        <w:rPr>
          <w:rFonts w:ascii="Verdana" w:hAnsi="Verdana" w:cs="Arial"/>
          <w:b/>
          <w:i/>
          <w:iCs/>
          <w:color w:val="000000"/>
          <w:sz w:val="18"/>
          <w:szCs w:val="18"/>
        </w:rPr>
        <w:t>Dlgs</w:t>
      </w:r>
      <w:proofErr w:type="spellEnd"/>
      <w:r w:rsidRPr="00B678DA">
        <w:rPr>
          <w:rFonts w:ascii="Verdana" w:hAnsi="Verdana" w:cs="Arial"/>
          <w:b/>
          <w:i/>
          <w:iCs/>
          <w:color w:val="000000"/>
          <w:sz w:val="18"/>
          <w:szCs w:val="18"/>
        </w:rPr>
        <w:t>. 27 Gennaio 2010,</w:t>
      </w:r>
    </w:p>
    <w:p w:rsidR="003673A8" w:rsidRPr="003673A8" w:rsidRDefault="003673A8" w:rsidP="003673A8">
      <w:pPr>
        <w:autoSpaceDE w:val="0"/>
        <w:autoSpaceDN w:val="0"/>
        <w:adjustRightInd w:val="0"/>
        <w:spacing w:after="0" w:line="240" w:lineRule="auto"/>
        <w:rPr>
          <w:rFonts w:ascii="Verdana" w:hAnsi="Verdana" w:cs="Arial"/>
          <w:i/>
          <w:iCs/>
          <w:color w:val="000000"/>
          <w:sz w:val="18"/>
          <w:szCs w:val="18"/>
        </w:rPr>
      </w:pPr>
      <w:r w:rsidRPr="003673A8">
        <w:rPr>
          <w:rFonts w:ascii="Verdana" w:hAnsi="Verdana" w:cs="Arial"/>
          <w:i/>
          <w:iCs/>
          <w:color w:val="000000"/>
          <w:sz w:val="18"/>
          <w:szCs w:val="18"/>
        </w:rPr>
        <w:t>n.17 . Le norme EN12453 ed EN12445 citate in questa linea guida non sono ancora armonizzate secondo la nuova Direttiva, e come tali sono un riferimento meramente tecnico per condurre l'analisi dei rischi. Non si esclude che aggiornamenti o integrazioni siano necessari ai fine della corretta esecuzione dell'analisi dei rischi in riferimento all'allegato I della medesima Direttiva.</w:t>
      </w:r>
    </w:p>
    <w:p w:rsidR="003673A8" w:rsidRPr="003673A8" w:rsidRDefault="003673A8" w:rsidP="003673A8">
      <w:p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Con la presente pubblicazione, UNAC intende informare e agevolare l’installatore nell’applicare le prescrizioni delle Direttive e delle Normative Europee riguardante la sicurezza d’uso delle porte/cancelli motorizzate.</w:t>
      </w:r>
    </w:p>
    <w:p w:rsidR="003673A8" w:rsidRPr="003673A8" w:rsidRDefault="003673A8" w:rsidP="003673A8">
      <w:p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 xml:space="preserve">Si informa che chi vende e </w:t>
      </w:r>
      <w:r w:rsidRPr="003673A8">
        <w:rPr>
          <w:rFonts w:ascii="Verdana" w:hAnsi="Verdana" w:cs="Arial"/>
          <w:i/>
          <w:iCs/>
          <w:color w:val="000000"/>
          <w:sz w:val="18"/>
          <w:szCs w:val="18"/>
        </w:rPr>
        <w:t xml:space="preserve">motorizza </w:t>
      </w:r>
      <w:r w:rsidRPr="003673A8">
        <w:rPr>
          <w:rFonts w:ascii="Verdana" w:hAnsi="Verdana" w:cs="Arial"/>
          <w:color w:val="000000"/>
          <w:sz w:val="18"/>
          <w:szCs w:val="18"/>
        </w:rPr>
        <w:t xml:space="preserve">una porta/cancello manuale esistente, diventa il costruttore della </w:t>
      </w:r>
      <w:r w:rsidRPr="003673A8">
        <w:rPr>
          <w:rFonts w:ascii="Verdana" w:hAnsi="Verdana" w:cs="Arial"/>
          <w:i/>
          <w:iCs/>
          <w:color w:val="000000"/>
          <w:sz w:val="18"/>
          <w:szCs w:val="18"/>
        </w:rPr>
        <w:t xml:space="preserve">macchina </w:t>
      </w:r>
      <w:r w:rsidRPr="003673A8">
        <w:rPr>
          <w:rFonts w:ascii="Verdana" w:hAnsi="Verdana" w:cs="Arial"/>
          <w:color w:val="000000"/>
          <w:sz w:val="18"/>
          <w:szCs w:val="18"/>
        </w:rPr>
        <w:t>porta/cancello motorizzata e deve realizzare e conservare il fascicolo tecnico, come previsto dall’allegato VII della Direttiva Macchine (2006/42/CE). Il fascicolo tecnico dovrà contenere i seguenti documenti:</w:t>
      </w:r>
    </w:p>
    <w:p w:rsidR="003673A8" w:rsidRPr="003673A8" w:rsidRDefault="003673A8" w:rsidP="003673A8">
      <w:pPr>
        <w:autoSpaceDE w:val="0"/>
        <w:autoSpaceDN w:val="0"/>
        <w:adjustRightInd w:val="0"/>
        <w:spacing w:after="0" w:line="240" w:lineRule="auto"/>
        <w:rPr>
          <w:rFonts w:ascii="Verdana" w:hAnsi="Verdana" w:cs="Arial"/>
          <w:color w:val="000000"/>
          <w:sz w:val="18"/>
          <w:szCs w:val="18"/>
        </w:rPr>
      </w:pPr>
    </w:p>
    <w:p w:rsidR="003673A8" w:rsidRPr="003673A8" w:rsidRDefault="003673A8" w:rsidP="003673A8">
      <w:pPr>
        <w:pStyle w:val="Paragrafoelenco"/>
        <w:numPr>
          <w:ilvl w:val="0"/>
          <w:numId w:val="2"/>
        </w:numPr>
        <w:autoSpaceDE w:val="0"/>
        <w:autoSpaceDN w:val="0"/>
        <w:adjustRightInd w:val="0"/>
        <w:spacing w:after="0" w:line="240" w:lineRule="auto"/>
        <w:rPr>
          <w:rFonts w:ascii="Verdana" w:hAnsi="Verdana" w:cs="Arial"/>
          <w:i/>
          <w:iCs/>
          <w:color w:val="000000"/>
          <w:sz w:val="18"/>
          <w:szCs w:val="18"/>
        </w:rPr>
      </w:pPr>
      <w:r w:rsidRPr="003673A8">
        <w:rPr>
          <w:rFonts w:ascii="Verdana" w:hAnsi="Verdana" w:cs="Arial"/>
          <w:color w:val="000000"/>
          <w:sz w:val="18"/>
          <w:szCs w:val="18"/>
        </w:rPr>
        <w:t>Descrizione generale del cancello motorizzato</w:t>
      </w:r>
      <w:r w:rsidRPr="003673A8">
        <w:rPr>
          <w:rFonts w:ascii="Verdana" w:hAnsi="Verdana" w:cs="Arial"/>
          <w:i/>
          <w:iCs/>
          <w:color w:val="000000"/>
          <w:sz w:val="18"/>
          <w:szCs w:val="18"/>
        </w:rPr>
        <w:t>;</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Disegno complessivo della porta/cancello motorizzata (solitamente presente nel manuale di installazione).</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Schema dei collegamenti elettrici e dei circuiti di comando (solitamente presente nel manuale di installazione).</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Analisi dei rischi comprendente (come indicato nelle pagine che seguono):</w:t>
      </w:r>
    </w:p>
    <w:p w:rsidR="003673A8" w:rsidRPr="003673A8" w:rsidRDefault="003673A8" w:rsidP="003673A8">
      <w:pPr>
        <w:pStyle w:val="Paragrafoelenco"/>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l’elenco dei requisiti essenziali previsti nell’allegato I della Direttiva Macchine;</w:t>
      </w:r>
    </w:p>
    <w:p w:rsidR="003673A8" w:rsidRPr="003673A8" w:rsidRDefault="003673A8" w:rsidP="003673A8">
      <w:pPr>
        <w:pStyle w:val="Paragrafoelenco"/>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l’elenco dei rischi presentati dalla porta/cancello e la descrizione delle misure di protezione adottate.</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Dovrà inoltre, conservare i manuali di installazione e manutenzione della porta/cancello e dei componenti.</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Preparare le istruzioni per l’uso e le avvertenze generali per la sicurezza (completando eventualmente, quelle presenti nel manuale di installazione della porta/cancello) e consegnarne copia all’utilizzatore.</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Se del caso copia delle dichiarazioni di altri prodotti incorporati nel cancello motorizzato;</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Compilare il registro di manutenzione e consegnarne copia all’utilizzatore (vedi facsimile in allegato 1).</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Redigere la dichiarazione CE di conformità (vedi facsimile in allegato 2) e consegnare copia all’utilizzatore.</w:t>
      </w:r>
    </w:p>
    <w:p w:rsidR="003673A8" w:rsidRPr="003673A8" w:rsidRDefault="003673A8" w:rsidP="003673A8">
      <w:pPr>
        <w:pStyle w:val="Paragrafoelenco"/>
        <w:numPr>
          <w:ilvl w:val="0"/>
          <w:numId w:val="3"/>
        </w:numPr>
        <w:autoSpaceDE w:val="0"/>
        <w:autoSpaceDN w:val="0"/>
        <w:adjustRightInd w:val="0"/>
        <w:spacing w:after="0" w:line="240" w:lineRule="auto"/>
        <w:rPr>
          <w:rFonts w:ascii="Verdana" w:hAnsi="Verdana" w:cs="Arial"/>
          <w:color w:val="000000"/>
          <w:sz w:val="18"/>
          <w:szCs w:val="18"/>
        </w:rPr>
      </w:pPr>
      <w:r w:rsidRPr="003673A8">
        <w:rPr>
          <w:rFonts w:ascii="Verdana" w:hAnsi="Verdana" w:cs="Arial"/>
          <w:color w:val="000000"/>
          <w:sz w:val="18"/>
          <w:szCs w:val="18"/>
        </w:rPr>
        <w:t>Compilare l’etichetta o la targa completa di marcatura CE e applicarla sulla porta/cancello motorizzata.</w:t>
      </w:r>
    </w:p>
    <w:p w:rsidR="003673A8" w:rsidRPr="003673A8" w:rsidRDefault="003673A8" w:rsidP="003673A8">
      <w:pPr>
        <w:autoSpaceDE w:val="0"/>
        <w:autoSpaceDN w:val="0"/>
        <w:adjustRightInd w:val="0"/>
        <w:spacing w:after="0" w:line="240" w:lineRule="auto"/>
        <w:rPr>
          <w:rFonts w:ascii="Verdana" w:hAnsi="Verdana" w:cs="Arial"/>
          <w:i/>
          <w:iCs/>
          <w:color w:val="000000"/>
          <w:sz w:val="18"/>
          <w:szCs w:val="18"/>
        </w:rPr>
      </w:pPr>
      <w:r w:rsidRPr="003673A8">
        <w:rPr>
          <w:rFonts w:ascii="Verdana" w:hAnsi="Verdana" w:cs="Arial"/>
          <w:i/>
          <w:iCs/>
          <w:color w:val="000000"/>
          <w:sz w:val="18"/>
          <w:szCs w:val="18"/>
        </w:rPr>
        <w:t>N.B. Il fascicolo tecnico deve essere conservato e tenuto a disposizione delle autorità nazionali competenti per almeno dieci anni a decorrere dalla data di costruzione della porta/cancello motorizzata.</w:t>
      </w:r>
    </w:p>
    <w:p w:rsidR="003673A8" w:rsidRPr="003673A8" w:rsidRDefault="003673A8" w:rsidP="003673A8">
      <w:pPr>
        <w:autoSpaceDE w:val="0"/>
        <w:autoSpaceDN w:val="0"/>
        <w:adjustRightInd w:val="0"/>
        <w:spacing w:after="0" w:line="240" w:lineRule="auto"/>
        <w:rPr>
          <w:rFonts w:ascii="Verdana" w:hAnsi="Verdana" w:cs="Arial"/>
          <w:b/>
          <w:bCs/>
          <w:color w:val="000000"/>
          <w:sz w:val="18"/>
          <w:szCs w:val="18"/>
        </w:rPr>
      </w:pPr>
    </w:p>
    <w:p w:rsidR="003673A8" w:rsidRPr="003673A8" w:rsidRDefault="003673A8" w:rsidP="003673A8">
      <w:pPr>
        <w:autoSpaceDE w:val="0"/>
        <w:autoSpaceDN w:val="0"/>
        <w:adjustRightInd w:val="0"/>
        <w:spacing w:after="0" w:line="240" w:lineRule="auto"/>
        <w:rPr>
          <w:rFonts w:ascii="Verdana" w:hAnsi="Verdana" w:cs="Arial"/>
          <w:b/>
          <w:bCs/>
          <w:color w:val="000000"/>
          <w:sz w:val="18"/>
          <w:szCs w:val="18"/>
        </w:rPr>
      </w:pPr>
      <w:r w:rsidRPr="003673A8">
        <w:rPr>
          <w:rFonts w:ascii="Verdana" w:hAnsi="Verdana" w:cs="Arial"/>
          <w:b/>
          <w:bCs/>
          <w:noProof/>
          <w:color w:val="000000"/>
          <w:sz w:val="18"/>
          <w:szCs w:val="18"/>
          <w:lang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-4445</wp:posOffset>
            </wp:positionV>
            <wp:extent cx="3543300" cy="3019425"/>
            <wp:effectExtent l="19050" t="0" r="0" b="0"/>
            <wp:wrapThrough wrapText="bothSides">
              <wp:wrapPolygon edited="0">
                <wp:start x="-116" y="0"/>
                <wp:lineTo x="-116" y="21532"/>
                <wp:lineTo x="21600" y="21532"/>
                <wp:lineTo x="21600" y="0"/>
                <wp:lineTo x="-116"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543300" cy="3019425"/>
                    </a:xfrm>
                    <a:prstGeom prst="rect">
                      <a:avLst/>
                    </a:prstGeom>
                    <a:noFill/>
                    <a:ln w="9525">
                      <a:noFill/>
                      <a:miter lim="800000"/>
                      <a:headEnd/>
                      <a:tailEnd/>
                    </a:ln>
                  </pic:spPr>
                </pic:pic>
              </a:graphicData>
            </a:graphic>
          </wp:anchor>
        </w:drawing>
      </w:r>
    </w:p>
    <w:p w:rsidR="003673A8" w:rsidRPr="003673A8" w:rsidRDefault="003673A8" w:rsidP="003673A8">
      <w:pPr>
        <w:autoSpaceDE w:val="0"/>
        <w:autoSpaceDN w:val="0"/>
        <w:adjustRightInd w:val="0"/>
        <w:spacing w:after="0" w:line="240" w:lineRule="auto"/>
        <w:rPr>
          <w:rFonts w:ascii="Verdana" w:hAnsi="Verdana" w:cs="Arial"/>
          <w:b/>
          <w:bCs/>
          <w:color w:val="000000"/>
          <w:sz w:val="18"/>
          <w:szCs w:val="18"/>
        </w:rPr>
      </w:pPr>
      <w:r w:rsidRPr="003673A8">
        <w:rPr>
          <w:rFonts w:ascii="Verdana" w:hAnsi="Verdana" w:cs="Arial"/>
          <w:b/>
          <w:bCs/>
          <w:color w:val="000000"/>
          <w:sz w:val="18"/>
          <w:szCs w:val="18"/>
        </w:rPr>
        <w:t>Zone di rischio del cancello scorrevole (figura 1)</w:t>
      </w:r>
    </w:p>
    <w:p w:rsidR="003673A8" w:rsidRPr="003673A8" w:rsidRDefault="003673A8" w:rsidP="003673A8">
      <w:pPr>
        <w:autoSpaceDE w:val="0"/>
        <w:autoSpaceDN w:val="0"/>
        <w:adjustRightInd w:val="0"/>
        <w:spacing w:after="0" w:line="240" w:lineRule="auto"/>
        <w:rPr>
          <w:rFonts w:ascii="Verdana" w:hAnsi="Verdana" w:cs="Arial"/>
          <w:i/>
          <w:iCs/>
          <w:color w:val="000000"/>
          <w:sz w:val="16"/>
          <w:szCs w:val="16"/>
        </w:rPr>
      </w:pPr>
      <w:r w:rsidRPr="003673A8">
        <w:rPr>
          <w:rFonts w:ascii="Verdana" w:hAnsi="Verdana" w:cs="Arial"/>
          <w:i/>
          <w:iCs/>
          <w:color w:val="000000"/>
          <w:sz w:val="16"/>
          <w:szCs w:val="16"/>
        </w:rPr>
        <w:t>I dati riportati sono stati redatti e controllati con la massima cura, tuttavia UNAC non può assumersi alcuna responsabilità per eventuali errori,</w:t>
      </w:r>
    </w:p>
    <w:p w:rsidR="003673A8" w:rsidRPr="003673A8" w:rsidRDefault="003673A8" w:rsidP="003673A8">
      <w:pPr>
        <w:autoSpaceDE w:val="0"/>
        <w:autoSpaceDN w:val="0"/>
        <w:adjustRightInd w:val="0"/>
        <w:spacing w:after="0" w:line="240" w:lineRule="auto"/>
        <w:rPr>
          <w:rFonts w:ascii="Verdana" w:hAnsi="Verdana" w:cs="Arial"/>
          <w:i/>
          <w:iCs/>
          <w:color w:val="000000"/>
          <w:sz w:val="16"/>
          <w:szCs w:val="16"/>
        </w:rPr>
      </w:pPr>
      <w:r w:rsidRPr="003673A8">
        <w:rPr>
          <w:rFonts w:ascii="Verdana" w:hAnsi="Verdana" w:cs="Arial"/>
          <w:i/>
          <w:iCs/>
          <w:color w:val="000000"/>
          <w:sz w:val="16"/>
          <w:szCs w:val="16"/>
        </w:rPr>
        <w:t>omissioni o approssimazioni dovute ad esigenze tecniche o grafiche. UNAC ricorda che la presente guida non sostituisce quanto previsto dalle</w:t>
      </w:r>
    </w:p>
    <w:p w:rsidR="0077592F" w:rsidRPr="003673A8" w:rsidRDefault="003673A8" w:rsidP="003673A8">
      <w:pPr>
        <w:rPr>
          <w:rFonts w:ascii="Verdana" w:hAnsi="Verdana" w:cs="Arial"/>
          <w:i/>
          <w:iCs/>
          <w:color w:val="000000"/>
          <w:sz w:val="16"/>
          <w:szCs w:val="16"/>
        </w:rPr>
      </w:pPr>
      <w:r w:rsidRPr="003673A8">
        <w:rPr>
          <w:rFonts w:ascii="Verdana" w:hAnsi="Verdana" w:cs="Arial"/>
          <w:i/>
          <w:iCs/>
          <w:color w:val="000000"/>
          <w:sz w:val="16"/>
          <w:szCs w:val="16"/>
        </w:rPr>
        <w:t>norme che il costruttore della porta/cancello motorizzato è tenuto a rispettare.</w:t>
      </w:r>
    </w:p>
    <w:p w:rsidR="003673A8" w:rsidRDefault="003673A8" w:rsidP="003673A8">
      <w:pPr>
        <w:rPr>
          <w:rFonts w:ascii="Arial" w:hAnsi="Arial" w:cs="Arial"/>
          <w:i/>
          <w:iCs/>
          <w:color w:val="000000"/>
          <w:sz w:val="16"/>
          <w:szCs w:val="16"/>
        </w:rPr>
      </w:pPr>
    </w:p>
    <w:p w:rsidR="003673A8" w:rsidRDefault="003673A8" w:rsidP="003673A8">
      <w:pPr>
        <w:rPr>
          <w:rFonts w:ascii="Arial" w:hAnsi="Arial" w:cs="Arial"/>
          <w:i/>
          <w:iCs/>
          <w:color w:val="000000"/>
          <w:sz w:val="16"/>
          <w:szCs w:val="16"/>
        </w:rPr>
      </w:pPr>
    </w:p>
    <w:p w:rsidR="003673A8" w:rsidRDefault="003673A8" w:rsidP="003673A8">
      <w:pPr>
        <w:rPr>
          <w:rFonts w:ascii="Arial" w:hAnsi="Arial" w:cs="Arial"/>
          <w:i/>
          <w:iCs/>
          <w:color w:val="000000"/>
          <w:sz w:val="16"/>
          <w:szCs w:val="16"/>
        </w:rPr>
      </w:pPr>
    </w:p>
    <w:p w:rsidR="003673A8" w:rsidRDefault="003673A8" w:rsidP="003673A8">
      <w:pPr>
        <w:rPr>
          <w:rFonts w:ascii="Arial" w:hAnsi="Arial" w:cs="Arial"/>
          <w:i/>
          <w:iCs/>
          <w:color w:val="000000"/>
          <w:sz w:val="16"/>
          <w:szCs w:val="16"/>
        </w:rPr>
      </w:pPr>
    </w:p>
    <w:p w:rsidR="003673A8" w:rsidRDefault="003673A8" w:rsidP="003673A8">
      <w:pPr>
        <w:rPr>
          <w:rFonts w:ascii="Arial" w:hAnsi="Arial" w:cs="Arial"/>
          <w:i/>
          <w:iCs/>
          <w:color w:val="000000"/>
          <w:sz w:val="16"/>
          <w:szCs w:val="16"/>
        </w:rPr>
      </w:pPr>
    </w:p>
    <w:p w:rsidR="00B678DA" w:rsidRDefault="00B678DA" w:rsidP="003673A8">
      <w:pPr>
        <w:autoSpaceDE w:val="0"/>
        <w:autoSpaceDN w:val="0"/>
        <w:adjustRightInd w:val="0"/>
        <w:spacing w:after="0" w:line="240" w:lineRule="auto"/>
        <w:rPr>
          <w:rFonts w:ascii="Verdana" w:hAnsi="Verdana" w:cs="Arial"/>
          <w:b/>
          <w:bCs/>
        </w:rPr>
      </w:pPr>
    </w:p>
    <w:p w:rsidR="00B678DA" w:rsidRDefault="00B678DA" w:rsidP="003673A8">
      <w:pPr>
        <w:autoSpaceDE w:val="0"/>
        <w:autoSpaceDN w:val="0"/>
        <w:adjustRightInd w:val="0"/>
        <w:spacing w:after="0" w:line="240" w:lineRule="auto"/>
        <w:rPr>
          <w:rFonts w:ascii="Verdana" w:hAnsi="Verdana" w:cs="Arial"/>
          <w:b/>
          <w:bCs/>
        </w:rPr>
      </w:pPr>
    </w:p>
    <w:p w:rsidR="003673A8" w:rsidRPr="003673A8" w:rsidRDefault="003673A8" w:rsidP="003673A8">
      <w:pPr>
        <w:autoSpaceDE w:val="0"/>
        <w:autoSpaceDN w:val="0"/>
        <w:adjustRightInd w:val="0"/>
        <w:spacing w:after="0" w:line="240" w:lineRule="auto"/>
        <w:rPr>
          <w:rFonts w:ascii="Verdana" w:hAnsi="Verdana" w:cs="Arial"/>
          <w:b/>
          <w:bCs/>
        </w:rPr>
      </w:pPr>
      <w:r w:rsidRPr="003673A8">
        <w:rPr>
          <w:rFonts w:ascii="Verdana" w:hAnsi="Verdana" w:cs="Arial"/>
          <w:b/>
          <w:bCs/>
        </w:rPr>
        <w:lastRenderedPageBreak/>
        <w:t>LEGENDA DEI RISCHI MECCANICI DOVUTI AL MOVIMENTO</w:t>
      </w:r>
    </w:p>
    <w:p w:rsidR="003673A8" w:rsidRPr="003673A8" w:rsidRDefault="003673A8" w:rsidP="003673A8">
      <w:pPr>
        <w:autoSpaceDE w:val="0"/>
        <w:autoSpaceDN w:val="0"/>
        <w:adjustRightInd w:val="0"/>
        <w:spacing w:after="0" w:line="240" w:lineRule="auto"/>
        <w:rPr>
          <w:rFonts w:ascii="Verdana" w:hAnsi="Verdana" w:cs="Arial"/>
          <w:sz w:val="18"/>
          <w:szCs w:val="18"/>
        </w:rPr>
      </w:pPr>
    </w:p>
    <w:p w:rsidR="003673A8" w:rsidRPr="003673A8" w:rsidRDefault="003673A8" w:rsidP="003673A8">
      <w:pPr>
        <w:autoSpaceDE w:val="0"/>
        <w:autoSpaceDN w:val="0"/>
        <w:adjustRightInd w:val="0"/>
        <w:spacing w:after="0" w:line="240" w:lineRule="auto"/>
        <w:rPr>
          <w:rFonts w:ascii="Verdana" w:hAnsi="Verdana" w:cs="Arial"/>
          <w:sz w:val="18"/>
          <w:szCs w:val="18"/>
        </w:rPr>
      </w:pPr>
      <w:r w:rsidRPr="003673A8">
        <w:rPr>
          <w:rFonts w:ascii="Verdana" w:hAnsi="Verdana" w:cs="Arial"/>
          <w:sz w:val="18"/>
          <w:szCs w:val="18"/>
        </w:rPr>
        <w:t>Ai sensi della Direttiva Macchine, si intende per:</w:t>
      </w:r>
    </w:p>
    <w:p w:rsidR="003673A8" w:rsidRPr="003673A8" w:rsidRDefault="003673A8" w:rsidP="003673A8">
      <w:pPr>
        <w:pStyle w:val="Paragrafoelenco"/>
        <w:numPr>
          <w:ilvl w:val="0"/>
          <w:numId w:val="4"/>
        </w:numPr>
        <w:autoSpaceDE w:val="0"/>
        <w:autoSpaceDN w:val="0"/>
        <w:adjustRightInd w:val="0"/>
        <w:spacing w:after="0" w:line="240" w:lineRule="auto"/>
        <w:rPr>
          <w:rFonts w:ascii="Verdana" w:hAnsi="Verdana" w:cs="Arial"/>
          <w:sz w:val="18"/>
          <w:szCs w:val="18"/>
        </w:rPr>
      </w:pPr>
      <w:r w:rsidRPr="003673A8">
        <w:rPr>
          <w:rFonts w:ascii="Verdana" w:hAnsi="Verdana" w:cs="Arial"/>
          <w:sz w:val="18"/>
          <w:szCs w:val="18"/>
        </w:rPr>
        <w:t>“Zone pericolose”, qualsiasi zona all’interno e/o in  prossimità di una macchina in cui la presenza di una</w:t>
      </w:r>
    </w:p>
    <w:p w:rsidR="003673A8" w:rsidRPr="003673A8" w:rsidRDefault="003673A8" w:rsidP="003673A8">
      <w:pPr>
        <w:autoSpaceDE w:val="0"/>
        <w:autoSpaceDN w:val="0"/>
        <w:adjustRightInd w:val="0"/>
        <w:spacing w:after="0" w:line="240" w:lineRule="auto"/>
        <w:rPr>
          <w:rFonts w:ascii="Verdana" w:hAnsi="Verdana" w:cs="Arial"/>
          <w:sz w:val="18"/>
          <w:szCs w:val="18"/>
        </w:rPr>
      </w:pPr>
      <w:r w:rsidRPr="003673A8">
        <w:rPr>
          <w:rFonts w:ascii="Verdana" w:hAnsi="Verdana" w:cs="Arial"/>
          <w:sz w:val="18"/>
          <w:szCs w:val="18"/>
        </w:rPr>
        <w:t xml:space="preserve">              persona esposta costituisca un rischio per la sicurezza e la salute di detta persona.</w:t>
      </w:r>
    </w:p>
    <w:p w:rsidR="003673A8" w:rsidRPr="003673A8" w:rsidRDefault="003673A8" w:rsidP="003673A8">
      <w:pPr>
        <w:pStyle w:val="Paragrafoelenco"/>
        <w:numPr>
          <w:ilvl w:val="0"/>
          <w:numId w:val="4"/>
        </w:numPr>
        <w:autoSpaceDE w:val="0"/>
        <w:autoSpaceDN w:val="0"/>
        <w:adjustRightInd w:val="0"/>
        <w:spacing w:after="0" w:line="240" w:lineRule="auto"/>
        <w:rPr>
          <w:rFonts w:ascii="Verdana" w:hAnsi="Verdana"/>
        </w:rPr>
      </w:pPr>
      <w:r w:rsidRPr="003673A8">
        <w:rPr>
          <w:rFonts w:ascii="Verdana" w:hAnsi="Verdana" w:cs="Arial"/>
          <w:sz w:val="18"/>
          <w:szCs w:val="18"/>
        </w:rPr>
        <w:t>Persona esposta”, qualsiasi persona che si trovi interamente o in parte in una zona pericolosa.</w:t>
      </w:r>
    </w:p>
    <w:p w:rsidR="003673A8" w:rsidRPr="003673A8" w:rsidRDefault="003673A8" w:rsidP="003673A8">
      <w:pPr>
        <w:autoSpaceDE w:val="0"/>
        <w:autoSpaceDN w:val="0"/>
        <w:adjustRightInd w:val="0"/>
        <w:spacing w:after="0" w:line="240" w:lineRule="auto"/>
        <w:rPr>
          <w:rFonts w:ascii="Verdana" w:hAnsi="Verdana"/>
        </w:rPr>
      </w:pPr>
    </w:p>
    <w:p w:rsidR="003673A8" w:rsidRPr="003673A8" w:rsidRDefault="003673A8" w:rsidP="003673A8">
      <w:pPr>
        <w:autoSpaceDE w:val="0"/>
        <w:autoSpaceDN w:val="0"/>
        <w:adjustRightInd w:val="0"/>
        <w:spacing w:after="0" w:line="240" w:lineRule="auto"/>
        <w:rPr>
          <w:rFonts w:ascii="Verdana" w:hAnsi="Verdana"/>
        </w:rPr>
      </w:pPr>
    </w:p>
    <w:p w:rsidR="003673A8" w:rsidRPr="00B678DA" w:rsidRDefault="003673A8" w:rsidP="003673A8">
      <w:pPr>
        <w:autoSpaceDE w:val="0"/>
        <w:autoSpaceDN w:val="0"/>
        <w:adjustRightInd w:val="0"/>
        <w:rPr>
          <w:rFonts w:ascii="Verdana" w:hAnsi="Verdana" w:cs="Arial"/>
          <w:b/>
          <w:sz w:val="20"/>
          <w:szCs w:val="20"/>
        </w:rPr>
      </w:pPr>
      <w:r w:rsidRPr="00B678DA">
        <w:rPr>
          <w:rFonts w:ascii="Verdana" w:hAnsi="Verdana" w:cs="Arial"/>
          <w:b/>
          <w:sz w:val="20"/>
          <w:szCs w:val="20"/>
        </w:rPr>
        <w:t>Possibili pericoli associati al funzionamento automatizzato della chiusura</w:t>
      </w:r>
    </w:p>
    <w:p w:rsidR="003673A8" w:rsidRPr="003673A8" w:rsidRDefault="003673A8" w:rsidP="003673A8">
      <w:pPr>
        <w:rPr>
          <w:rFonts w:ascii="Verdana" w:hAnsi="Verdana"/>
        </w:rPr>
      </w:pPr>
      <w:r w:rsidRPr="003673A8">
        <w:rPr>
          <w:rFonts w:ascii="Verdana" w:hAnsi="Verdana"/>
          <w:noProof/>
          <w:lang w:eastAsia="it-IT"/>
        </w:rPr>
        <w:drawing>
          <wp:anchor distT="0" distB="0" distL="114300" distR="114300" simplePos="0" relativeHeight="251662336" behindDoc="0" locked="0" layoutInCell="1" allowOverlap="1">
            <wp:simplePos x="0" y="0"/>
            <wp:positionH relativeFrom="column">
              <wp:posOffset>-196215</wp:posOffset>
            </wp:positionH>
            <wp:positionV relativeFrom="paragraph">
              <wp:posOffset>26670</wp:posOffset>
            </wp:positionV>
            <wp:extent cx="3550285" cy="1315720"/>
            <wp:effectExtent l="1905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24832" t="20116" r="43140" b="67397"/>
                    <a:stretch>
                      <a:fillRect/>
                    </a:stretch>
                  </pic:blipFill>
                  <pic:spPr bwMode="auto">
                    <a:xfrm>
                      <a:off x="0" y="0"/>
                      <a:ext cx="3550285" cy="1315720"/>
                    </a:xfrm>
                    <a:prstGeom prst="rect">
                      <a:avLst/>
                    </a:prstGeom>
                    <a:noFill/>
                    <a:ln w="9525">
                      <a:noFill/>
                      <a:miter lim="800000"/>
                      <a:headEnd/>
                      <a:tailEnd/>
                    </a:ln>
                  </pic:spPr>
                </pic:pic>
              </a:graphicData>
            </a:graphic>
          </wp:anchor>
        </w:drawing>
      </w:r>
    </w:p>
    <w:p w:rsidR="003673A8" w:rsidRPr="003673A8" w:rsidRDefault="003673A8" w:rsidP="003673A8">
      <w:pPr>
        <w:rPr>
          <w:rFonts w:ascii="Verdana" w:hAnsi="Verdana"/>
        </w:rPr>
      </w:pPr>
      <w:r w:rsidRPr="003673A8">
        <w:rPr>
          <w:rFonts w:ascii="Verdana" w:hAnsi="Verdana"/>
          <w:noProof/>
          <w:lang w:eastAsia="it-IT"/>
        </w:rPr>
        <w:drawing>
          <wp:anchor distT="0" distB="0" distL="114300" distR="114300" simplePos="0" relativeHeight="251660288" behindDoc="0" locked="0" layoutInCell="1" allowOverlap="1">
            <wp:simplePos x="0" y="0"/>
            <wp:positionH relativeFrom="column">
              <wp:posOffset>3423285</wp:posOffset>
            </wp:positionH>
            <wp:positionV relativeFrom="paragraph">
              <wp:posOffset>137795</wp:posOffset>
            </wp:positionV>
            <wp:extent cx="3006090" cy="1676400"/>
            <wp:effectExtent l="19050" t="0" r="381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006090" cy="1676400"/>
                    </a:xfrm>
                    <a:prstGeom prst="rect">
                      <a:avLst/>
                    </a:prstGeom>
                    <a:noFill/>
                    <a:ln w="9525">
                      <a:noFill/>
                      <a:miter lim="800000"/>
                      <a:headEnd/>
                      <a:tailEnd/>
                    </a:ln>
                  </pic:spPr>
                </pic:pic>
              </a:graphicData>
            </a:graphic>
          </wp:anchor>
        </w:drawing>
      </w:r>
    </w:p>
    <w:p w:rsidR="003673A8" w:rsidRPr="003673A8" w:rsidRDefault="003673A8" w:rsidP="003673A8">
      <w:pPr>
        <w:rPr>
          <w:rFonts w:ascii="Verdana" w:hAnsi="Verdana"/>
        </w:rPr>
      </w:pPr>
    </w:p>
    <w:p w:rsidR="003673A8" w:rsidRPr="003673A8" w:rsidRDefault="003673A8" w:rsidP="003673A8">
      <w:pPr>
        <w:rPr>
          <w:rFonts w:ascii="Verdana" w:hAnsi="Verdana"/>
        </w:rPr>
      </w:pPr>
    </w:p>
    <w:p w:rsidR="003673A8" w:rsidRPr="003673A8" w:rsidRDefault="003673A8" w:rsidP="003673A8">
      <w:pPr>
        <w:rPr>
          <w:rFonts w:ascii="Verdana" w:hAnsi="Verdana"/>
        </w:rPr>
      </w:pPr>
      <w:r w:rsidRPr="003673A8">
        <w:rPr>
          <w:rFonts w:ascii="Verdana" w:hAnsi="Verdana"/>
          <w:noProof/>
          <w:lang w:eastAsia="it-IT"/>
        </w:rPr>
        <w:drawing>
          <wp:anchor distT="0" distB="0" distL="114300" distR="114300" simplePos="0" relativeHeight="251661312" behindDoc="0" locked="0" layoutInCell="1" allowOverlap="1">
            <wp:simplePos x="0" y="0"/>
            <wp:positionH relativeFrom="column">
              <wp:posOffset>-120015</wp:posOffset>
            </wp:positionH>
            <wp:positionV relativeFrom="paragraph">
              <wp:posOffset>151765</wp:posOffset>
            </wp:positionV>
            <wp:extent cx="3382010" cy="1190625"/>
            <wp:effectExtent l="19050" t="0" r="889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5690" t="65034" r="43907" b="24028"/>
                    <a:stretch>
                      <a:fillRect/>
                    </a:stretch>
                  </pic:blipFill>
                  <pic:spPr bwMode="auto">
                    <a:xfrm>
                      <a:off x="0" y="0"/>
                      <a:ext cx="3382010" cy="1190625"/>
                    </a:xfrm>
                    <a:prstGeom prst="rect">
                      <a:avLst/>
                    </a:prstGeom>
                    <a:noFill/>
                    <a:ln w="9525">
                      <a:noFill/>
                      <a:miter lim="800000"/>
                      <a:headEnd/>
                      <a:tailEnd/>
                    </a:ln>
                  </pic:spPr>
                </pic:pic>
              </a:graphicData>
            </a:graphic>
          </wp:anchor>
        </w:drawing>
      </w:r>
    </w:p>
    <w:p w:rsidR="003673A8" w:rsidRPr="003673A8" w:rsidRDefault="003673A8" w:rsidP="003673A8">
      <w:pPr>
        <w:rPr>
          <w:rFonts w:ascii="Verdana" w:hAnsi="Verdana"/>
        </w:rPr>
      </w:pPr>
    </w:p>
    <w:p w:rsidR="003673A8" w:rsidRPr="003673A8" w:rsidRDefault="003673A8" w:rsidP="003673A8">
      <w:pPr>
        <w:rPr>
          <w:rFonts w:ascii="Verdana" w:hAnsi="Verdana"/>
        </w:rPr>
      </w:pPr>
    </w:p>
    <w:p w:rsidR="003673A8" w:rsidRPr="003673A8" w:rsidRDefault="003673A8" w:rsidP="003673A8">
      <w:pPr>
        <w:rPr>
          <w:rFonts w:ascii="Verdana" w:hAnsi="Verdana"/>
        </w:rPr>
      </w:pPr>
    </w:p>
    <w:p w:rsidR="003673A8" w:rsidRPr="003673A8" w:rsidRDefault="003673A8" w:rsidP="003673A8">
      <w:pPr>
        <w:rPr>
          <w:rFonts w:ascii="Verdana" w:hAnsi="Verdana"/>
        </w:rPr>
      </w:pPr>
    </w:p>
    <w:p w:rsidR="003673A8" w:rsidRPr="003673A8" w:rsidRDefault="003673A8" w:rsidP="003673A8">
      <w:pPr>
        <w:autoSpaceDE w:val="0"/>
        <w:autoSpaceDN w:val="0"/>
        <w:adjustRightInd w:val="0"/>
        <w:rPr>
          <w:rFonts w:ascii="Verdana" w:hAnsi="Verdana" w:cs="Arial"/>
          <w:b/>
          <w:sz w:val="20"/>
          <w:szCs w:val="20"/>
        </w:rPr>
      </w:pPr>
      <w:r w:rsidRPr="003673A8">
        <w:rPr>
          <w:rFonts w:ascii="Verdana" w:hAnsi="Verdana" w:cs="Arial"/>
          <w:b/>
          <w:sz w:val="20"/>
          <w:szCs w:val="20"/>
        </w:rPr>
        <w:t>Zone di rischio del cancello a battente (Guida UNAC)</w:t>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noProof/>
          <w:sz w:val="18"/>
          <w:szCs w:val="18"/>
          <w:lang w:eastAsia="it-IT"/>
        </w:rPr>
        <w:drawing>
          <wp:anchor distT="0" distB="0" distL="114300" distR="114300" simplePos="0" relativeHeight="251664384" behindDoc="0" locked="0" layoutInCell="1" allowOverlap="1">
            <wp:simplePos x="0" y="0"/>
            <wp:positionH relativeFrom="column">
              <wp:posOffset>756285</wp:posOffset>
            </wp:positionH>
            <wp:positionV relativeFrom="paragraph">
              <wp:posOffset>248285</wp:posOffset>
            </wp:positionV>
            <wp:extent cx="3914775" cy="3400425"/>
            <wp:effectExtent l="19050" t="0" r="952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14775" cy="3400425"/>
                    </a:xfrm>
                    <a:prstGeom prst="rect">
                      <a:avLst/>
                    </a:prstGeom>
                    <a:noFill/>
                    <a:ln w="9525">
                      <a:noFill/>
                      <a:miter lim="800000"/>
                      <a:headEnd/>
                      <a:tailEnd/>
                    </a:ln>
                  </pic:spPr>
                </pic:pic>
              </a:graphicData>
            </a:graphic>
          </wp:anchor>
        </w:drawing>
      </w: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3673A8" w:rsidRPr="003673A8" w:rsidRDefault="003673A8" w:rsidP="003673A8">
      <w:pPr>
        <w:autoSpaceDE w:val="0"/>
        <w:autoSpaceDN w:val="0"/>
        <w:adjustRightInd w:val="0"/>
        <w:rPr>
          <w:rFonts w:ascii="Verdana" w:hAnsi="Verdana" w:cs="Arial"/>
          <w:sz w:val="18"/>
          <w:szCs w:val="18"/>
        </w:rPr>
      </w:pPr>
    </w:p>
    <w:p w:rsidR="00B678DA" w:rsidRDefault="00B678DA" w:rsidP="003673A8">
      <w:pPr>
        <w:autoSpaceDE w:val="0"/>
        <w:autoSpaceDN w:val="0"/>
        <w:adjustRightInd w:val="0"/>
        <w:rPr>
          <w:rFonts w:ascii="Verdana" w:hAnsi="Verdana" w:cs="Arial"/>
          <w:b/>
          <w:sz w:val="18"/>
          <w:szCs w:val="18"/>
        </w:rPr>
      </w:pPr>
    </w:p>
    <w:p w:rsidR="00B678DA" w:rsidRDefault="00B678DA" w:rsidP="003673A8">
      <w:pPr>
        <w:autoSpaceDE w:val="0"/>
        <w:autoSpaceDN w:val="0"/>
        <w:adjustRightInd w:val="0"/>
        <w:rPr>
          <w:rFonts w:ascii="Verdana" w:hAnsi="Verdana" w:cs="Arial"/>
          <w:b/>
          <w:sz w:val="18"/>
          <w:szCs w:val="18"/>
        </w:rPr>
      </w:pPr>
    </w:p>
    <w:p w:rsidR="003673A8" w:rsidRPr="00B678DA" w:rsidRDefault="003673A8" w:rsidP="003673A8">
      <w:pPr>
        <w:autoSpaceDE w:val="0"/>
        <w:autoSpaceDN w:val="0"/>
        <w:adjustRightInd w:val="0"/>
        <w:rPr>
          <w:rFonts w:ascii="Verdana" w:hAnsi="Verdana" w:cs="Arial"/>
          <w:b/>
          <w:sz w:val="20"/>
          <w:szCs w:val="20"/>
        </w:rPr>
      </w:pPr>
      <w:r w:rsidRPr="00B678DA">
        <w:rPr>
          <w:rFonts w:ascii="Verdana" w:hAnsi="Verdana" w:cs="Arial"/>
          <w:b/>
          <w:sz w:val="18"/>
          <w:szCs w:val="18"/>
        </w:rPr>
        <w:lastRenderedPageBreak/>
        <w:t>Il livello minimo di protezione da adottare per il bordo principale di chiusura è riassunto in tabella 1.</w:t>
      </w:r>
    </w:p>
    <w:p w:rsidR="003673A8" w:rsidRPr="003673A8" w:rsidRDefault="003673A8" w:rsidP="003673A8">
      <w:pPr>
        <w:autoSpaceDE w:val="0"/>
        <w:autoSpaceDN w:val="0"/>
        <w:adjustRightInd w:val="0"/>
        <w:rPr>
          <w:rFonts w:ascii="Verdana" w:hAnsi="Verdana" w:cs="Arial"/>
          <w:sz w:val="20"/>
          <w:szCs w:val="20"/>
        </w:rPr>
      </w:pPr>
      <w:r w:rsidRPr="003673A8">
        <w:rPr>
          <w:rFonts w:ascii="Verdana" w:hAnsi="Verdana" w:cs="Arial"/>
          <w:noProof/>
          <w:sz w:val="20"/>
          <w:szCs w:val="20"/>
          <w:lang w:eastAsia="it-IT"/>
        </w:rPr>
        <w:drawing>
          <wp:inline distT="0" distB="0" distL="0" distR="0">
            <wp:extent cx="6324600" cy="314325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24600" cy="3143250"/>
                    </a:xfrm>
                    <a:prstGeom prst="rect">
                      <a:avLst/>
                    </a:prstGeom>
                    <a:noFill/>
                    <a:ln w="9525">
                      <a:noFill/>
                      <a:miter lim="800000"/>
                      <a:headEnd/>
                      <a:tailEnd/>
                    </a:ln>
                  </pic:spPr>
                </pic:pic>
              </a:graphicData>
            </a:graphic>
          </wp:inline>
        </w:drawing>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sz w:val="18"/>
          <w:szCs w:val="18"/>
        </w:rPr>
        <w:t>Tabella 1 – Livello minimo di protezione da adottare per il bordo principale di chiusura – UNI EN 12453</w:t>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sz w:val="18"/>
          <w:szCs w:val="18"/>
        </w:rPr>
        <w:t>Come si vede dalla tabella 1, le persone sono suddivise in tre gruppi, in relazione al tipo di uso che viene fatto della</w:t>
      </w:r>
      <w:r w:rsidR="00B678DA">
        <w:rPr>
          <w:rFonts w:ascii="Verdana" w:hAnsi="Verdana" w:cs="Arial"/>
          <w:sz w:val="18"/>
          <w:szCs w:val="18"/>
        </w:rPr>
        <w:t xml:space="preserve"> </w:t>
      </w:r>
      <w:r w:rsidRPr="003673A8">
        <w:rPr>
          <w:rFonts w:ascii="Verdana" w:hAnsi="Verdana" w:cs="Arial"/>
          <w:sz w:val="18"/>
          <w:szCs w:val="18"/>
        </w:rPr>
        <w:t>chiusura automatizzata:</w:t>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b/>
          <w:bCs/>
          <w:sz w:val="18"/>
          <w:szCs w:val="18"/>
        </w:rPr>
        <w:t>Gruppo 1</w:t>
      </w:r>
      <w:r w:rsidRPr="003673A8">
        <w:rPr>
          <w:rFonts w:ascii="Verdana" w:hAnsi="Verdana" w:cs="Arial"/>
          <w:sz w:val="18"/>
          <w:szCs w:val="18"/>
        </w:rPr>
        <w:t>. Solo un limitato numero di persone è autorizzato all’uso, e la chiusura non è in un’area pubblica. Un esempio di questo tipo sono i cancelli all’interno delle aziende, i cui fruitori sono solo i dipendenti o una parte di loro i quali sono stati adeguatamente informati.</w:t>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b/>
          <w:bCs/>
          <w:sz w:val="18"/>
          <w:szCs w:val="18"/>
        </w:rPr>
        <w:t>Gruppo 2</w:t>
      </w:r>
      <w:r w:rsidRPr="003673A8">
        <w:rPr>
          <w:rFonts w:ascii="Verdana" w:hAnsi="Verdana" w:cs="Arial"/>
          <w:sz w:val="18"/>
          <w:szCs w:val="18"/>
        </w:rPr>
        <w:t>. Solo un limitato numero di persone è autorizzato all’uso, ma in questo caso la chiusura è in un’area pubblica. Un esempio può essere un cancello aziendale che accede alla pubblica via, e che può essere utilizzato solo dai dipendenti.</w:t>
      </w:r>
    </w:p>
    <w:p w:rsidR="003673A8" w:rsidRPr="003673A8" w:rsidRDefault="003673A8" w:rsidP="003673A8">
      <w:pPr>
        <w:autoSpaceDE w:val="0"/>
        <w:autoSpaceDN w:val="0"/>
        <w:adjustRightInd w:val="0"/>
        <w:rPr>
          <w:rFonts w:ascii="Verdana" w:hAnsi="Verdana" w:cs="Arial"/>
          <w:sz w:val="18"/>
          <w:szCs w:val="18"/>
        </w:rPr>
      </w:pPr>
      <w:r w:rsidRPr="003673A8">
        <w:rPr>
          <w:rFonts w:ascii="Verdana" w:hAnsi="Verdana" w:cs="Arial"/>
          <w:b/>
          <w:bCs/>
          <w:sz w:val="18"/>
          <w:szCs w:val="18"/>
        </w:rPr>
        <w:t>Gruppo 3</w:t>
      </w:r>
      <w:r w:rsidRPr="003673A8">
        <w:rPr>
          <w:rFonts w:ascii="Verdana" w:hAnsi="Verdana" w:cs="Arial"/>
          <w:sz w:val="18"/>
          <w:szCs w:val="18"/>
        </w:rPr>
        <w:t>. Qualsiasi persona può utilizzare la chiusura automatizzata, che quindi è situata sul suolo pubblico. Ad esempio la porta di accesso di un supermercato o di un ufficio, o di un ospedale. Un’altra cosa da chiarire per comprendere la tabella, è il significato del tipo di protezione che deve essere adottato nelle diverse situazioni:</w:t>
      </w:r>
    </w:p>
    <w:p w:rsidR="003673A8" w:rsidRPr="00B678DA" w:rsidRDefault="003673A8" w:rsidP="00B678DA">
      <w:pPr>
        <w:pStyle w:val="Paragrafoelenco"/>
        <w:numPr>
          <w:ilvl w:val="0"/>
          <w:numId w:val="4"/>
        </w:numPr>
        <w:autoSpaceDE w:val="0"/>
        <w:autoSpaceDN w:val="0"/>
        <w:adjustRightInd w:val="0"/>
        <w:rPr>
          <w:rFonts w:ascii="Verdana" w:hAnsi="Verdana" w:cs="Arial"/>
          <w:sz w:val="18"/>
          <w:szCs w:val="18"/>
        </w:rPr>
      </w:pPr>
      <w:r w:rsidRPr="00B678DA">
        <w:rPr>
          <w:rFonts w:ascii="Verdana" w:hAnsi="Verdana" w:cs="Arial"/>
          <w:sz w:val="18"/>
          <w:szCs w:val="18"/>
        </w:rPr>
        <w:t xml:space="preserve">Protezione </w:t>
      </w:r>
      <w:r w:rsidRPr="00B678DA">
        <w:rPr>
          <w:rFonts w:ascii="Verdana" w:hAnsi="Verdana" w:cs="Arial"/>
          <w:b/>
          <w:bCs/>
          <w:sz w:val="18"/>
          <w:szCs w:val="18"/>
        </w:rPr>
        <w:t>A</w:t>
      </w:r>
      <w:r w:rsidRPr="00B678DA">
        <w:rPr>
          <w:rFonts w:ascii="Verdana" w:hAnsi="Verdana" w:cs="Arial"/>
          <w:sz w:val="18"/>
          <w:szCs w:val="18"/>
        </w:rPr>
        <w:t xml:space="preserve">. La chiusura viene attivata tramite un </w:t>
      </w:r>
      <w:r w:rsidRPr="00B678DA">
        <w:rPr>
          <w:rFonts w:ascii="Verdana" w:hAnsi="Verdana" w:cs="Arial"/>
          <w:b/>
          <w:bCs/>
          <w:sz w:val="18"/>
          <w:szCs w:val="18"/>
        </w:rPr>
        <w:t>pulsante di comando con la persona presente</w:t>
      </w:r>
      <w:r w:rsidRPr="00B678DA">
        <w:rPr>
          <w:rFonts w:ascii="Verdana" w:hAnsi="Verdana" w:cs="Arial"/>
          <w:sz w:val="18"/>
          <w:szCs w:val="18"/>
        </w:rPr>
        <w:t>, cioè ad azione mantenuta.</w:t>
      </w:r>
    </w:p>
    <w:p w:rsidR="003673A8" w:rsidRPr="00B678DA" w:rsidRDefault="003673A8" w:rsidP="00B678DA">
      <w:pPr>
        <w:pStyle w:val="Paragrafoelenco"/>
        <w:numPr>
          <w:ilvl w:val="0"/>
          <w:numId w:val="4"/>
        </w:numPr>
        <w:autoSpaceDE w:val="0"/>
        <w:autoSpaceDN w:val="0"/>
        <w:adjustRightInd w:val="0"/>
        <w:rPr>
          <w:rFonts w:ascii="Verdana" w:hAnsi="Verdana" w:cs="Arial"/>
          <w:sz w:val="18"/>
          <w:szCs w:val="18"/>
        </w:rPr>
      </w:pPr>
      <w:r w:rsidRPr="00B678DA">
        <w:rPr>
          <w:rFonts w:ascii="Verdana" w:hAnsi="Verdana" w:cs="Arial"/>
          <w:sz w:val="18"/>
          <w:szCs w:val="18"/>
        </w:rPr>
        <w:t xml:space="preserve">Protezione </w:t>
      </w:r>
      <w:r w:rsidRPr="00B678DA">
        <w:rPr>
          <w:rFonts w:ascii="Verdana" w:hAnsi="Verdana" w:cs="Arial"/>
          <w:b/>
          <w:bCs/>
          <w:sz w:val="18"/>
          <w:szCs w:val="18"/>
        </w:rPr>
        <w:t>B</w:t>
      </w:r>
      <w:r w:rsidRPr="00B678DA">
        <w:rPr>
          <w:rFonts w:ascii="Verdana" w:hAnsi="Verdana" w:cs="Arial"/>
          <w:sz w:val="18"/>
          <w:szCs w:val="18"/>
        </w:rPr>
        <w:t xml:space="preserve">. La chiusura viene attivata tramite un comando </w:t>
      </w:r>
      <w:r w:rsidRPr="00B678DA">
        <w:rPr>
          <w:rFonts w:ascii="Verdana" w:hAnsi="Verdana" w:cs="Arial"/>
          <w:b/>
          <w:bCs/>
          <w:sz w:val="18"/>
          <w:szCs w:val="18"/>
        </w:rPr>
        <w:t xml:space="preserve">con la persona presente, attraverso un selettore a chiave </w:t>
      </w:r>
      <w:r w:rsidRPr="00B678DA">
        <w:rPr>
          <w:rFonts w:ascii="Verdana" w:hAnsi="Verdana" w:cs="Arial"/>
          <w:sz w:val="18"/>
          <w:szCs w:val="18"/>
        </w:rPr>
        <w:t>o simile, per impedirne l’utilizzo a persone non autorizzate.</w:t>
      </w:r>
    </w:p>
    <w:p w:rsidR="003673A8" w:rsidRPr="00B678DA" w:rsidRDefault="003673A8" w:rsidP="00B678DA">
      <w:pPr>
        <w:pStyle w:val="Paragrafoelenco"/>
        <w:numPr>
          <w:ilvl w:val="0"/>
          <w:numId w:val="4"/>
        </w:numPr>
        <w:autoSpaceDE w:val="0"/>
        <w:autoSpaceDN w:val="0"/>
        <w:adjustRightInd w:val="0"/>
        <w:rPr>
          <w:rFonts w:ascii="Verdana" w:hAnsi="Verdana" w:cs="Arial"/>
          <w:sz w:val="18"/>
          <w:szCs w:val="18"/>
        </w:rPr>
      </w:pPr>
      <w:r w:rsidRPr="00B678DA">
        <w:rPr>
          <w:rFonts w:ascii="Verdana" w:hAnsi="Verdana" w:cs="Arial"/>
          <w:sz w:val="18"/>
          <w:szCs w:val="18"/>
        </w:rPr>
        <w:t xml:space="preserve">Protezione </w:t>
      </w:r>
      <w:r w:rsidRPr="00B678DA">
        <w:rPr>
          <w:rFonts w:ascii="Verdana" w:hAnsi="Verdana" w:cs="Arial"/>
          <w:b/>
          <w:bCs/>
          <w:sz w:val="18"/>
          <w:szCs w:val="18"/>
        </w:rPr>
        <w:t>C</w:t>
      </w:r>
      <w:r w:rsidRPr="00B678DA">
        <w:rPr>
          <w:rFonts w:ascii="Verdana" w:hAnsi="Verdana" w:cs="Arial"/>
          <w:sz w:val="18"/>
          <w:szCs w:val="18"/>
        </w:rPr>
        <w:t xml:space="preserve">. </w:t>
      </w:r>
      <w:r w:rsidRPr="00B678DA">
        <w:rPr>
          <w:rFonts w:ascii="Verdana" w:hAnsi="Verdana" w:cs="Arial"/>
          <w:b/>
          <w:bCs/>
          <w:sz w:val="18"/>
          <w:szCs w:val="18"/>
        </w:rPr>
        <w:t xml:space="preserve">Limitazione delle forze dell’anta </w:t>
      </w:r>
      <w:r w:rsidRPr="00B678DA">
        <w:rPr>
          <w:rFonts w:ascii="Verdana" w:hAnsi="Verdana" w:cs="Arial"/>
          <w:sz w:val="18"/>
          <w:szCs w:val="18"/>
        </w:rPr>
        <w:t>della porta o cancello. Cioè la forza di impatto deve rientrare in una curva stabilita dalla normativa, nel caso il cancello colpisca un ostacolo.</w:t>
      </w:r>
    </w:p>
    <w:p w:rsidR="003673A8" w:rsidRPr="00B678DA" w:rsidRDefault="003673A8" w:rsidP="00B678DA">
      <w:pPr>
        <w:pStyle w:val="Paragrafoelenco"/>
        <w:numPr>
          <w:ilvl w:val="0"/>
          <w:numId w:val="4"/>
        </w:numPr>
        <w:autoSpaceDE w:val="0"/>
        <w:autoSpaceDN w:val="0"/>
        <w:adjustRightInd w:val="0"/>
        <w:rPr>
          <w:rFonts w:ascii="Verdana" w:hAnsi="Verdana" w:cs="Arial"/>
          <w:sz w:val="18"/>
          <w:szCs w:val="18"/>
        </w:rPr>
      </w:pPr>
      <w:r w:rsidRPr="00B678DA">
        <w:rPr>
          <w:rFonts w:ascii="Verdana" w:hAnsi="Verdana" w:cs="Arial"/>
          <w:sz w:val="18"/>
          <w:szCs w:val="18"/>
        </w:rPr>
        <w:t xml:space="preserve">Protezione </w:t>
      </w:r>
      <w:r w:rsidRPr="00B678DA">
        <w:rPr>
          <w:rFonts w:ascii="Verdana" w:hAnsi="Verdana" w:cs="Arial"/>
          <w:b/>
          <w:bCs/>
          <w:sz w:val="18"/>
          <w:szCs w:val="18"/>
        </w:rPr>
        <w:t>D</w:t>
      </w:r>
      <w:r w:rsidRPr="00B678DA">
        <w:rPr>
          <w:rFonts w:ascii="Verdana" w:hAnsi="Verdana" w:cs="Arial"/>
          <w:sz w:val="18"/>
          <w:szCs w:val="18"/>
        </w:rPr>
        <w:t xml:space="preserve">. Dispositivi, come le </w:t>
      </w:r>
      <w:r w:rsidRPr="00B678DA">
        <w:rPr>
          <w:rFonts w:ascii="Verdana" w:hAnsi="Verdana" w:cs="Arial"/>
          <w:b/>
          <w:bCs/>
          <w:sz w:val="18"/>
          <w:szCs w:val="18"/>
        </w:rPr>
        <w:t>fotocellule, atte a rilevare la presenza di persone od ostacoli</w:t>
      </w:r>
      <w:r w:rsidRPr="00B678DA">
        <w:rPr>
          <w:rFonts w:ascii="Verdana" w:hAnsi="Verdana" w:cs="Arial"/>
          <w:sz w:val="18"/>
          <w:szCs w:val="18"/>
        </w:rPr>
        <w:t>. Possono essere attivi su un solo lato o su entrambi i lati della porta o cancello.</w:t>
      </w:r>
    </w:p>
    <w:p w:rsidR="003673A8" w:rsidRPr="00B678DA" w:rsidRDefault="003673A8" w:rsidP="00B678DA">
      <w:pPr>
        <w:pStyle w:val="Paragrafoelenco"/>
        <w:numPr>
          <w:ilvl w:val="0"/>
          <w:numId w:val="4"/>
        </w:numPr>
        <w:autoSpaceDE w:val="0"/>
        <w:autoSpaceDN w:val="0"/>
        <w:adjustRightInd w:val="0"/>
        <w:rPr>
          <w:rFonts w:ascii="Verdana" w:hAnsi="Verdana" w:cs="Arial"/>
          <w:sz w:val="20"/>
          <w:szCs w:val="20"/>
        </w:rPr>
      </w:pPr>
      <w:r w:rsidRPr="00B678DA">
        <w:rPr>
          <w:rFonts w:ascii="Verdana" w:hAnsi="Verdana" w:cs="Arial"/>
          <w:sz w:val="18"/>
          <w:szCs w:val="18"/>
        </w:rPr>
        <w:t xml:space="preserve">Protezione </w:t>
      </w:r>
      <w:r w:rsidRPr="00B678DA">
        <w:rPr>
          <w:rFonts w:ascii="Verdana" w:hAnsi="Verdana" w:cs="Arial"/>
          <w:b/>
          <w:bCs/>
          <w:sz w:val="18"/>
          <w:szCs w:val="18"/>
        </w:rPr>
        <w:t>E</w:t>
      </w:r>
      <w:r w:rsidRPr="00B678DA">
        <w:rPr>
          <w:rFonts w:ascii="Verdana" w:hAnsi="Verdana" w:cs="Arial"/>
          <w:sz w:val="18"/>
          <w:szCs w:val="18"/>
        </w:rPr>
        <w:t xml:space="preserve">. Dispositivi sensibili, come le </w:t>
      </w:r>
      <w:r w:rsidRPr="00B678DA">
        <w:rPr>
          <w:rFonts w:ascii="Verdana" w:hAnsi="Verdana" w:cs="Arial"/>
          <w:b/>
          <w:bCs/>
          <w:sz w:val="18"/>
          <w:szCs w:val="18"/>
        </w:rPr>
        <w:t>pedane o le barriere immateriali, atti a rilevare la presenza di una persona</w:t>
      </w:r>
      <w:r w:rsidRPr="00B678DA">
        <w:rPr>
          <w:rFonts w:ascii="Verdana" w:hAnsi="Verdana" w:cs="Arial"/>
          <w:sz w:val="18"/>
          <w:szCs w:val="18"/>
        </w:rPr>
        <w:t>, ed installati in modo che questa non possa in alcun modo essere urtata dall’anta in movimento. Questi dispositivi devono essere attivi in tutta la “zona pericolosa” del cancello. Per “zona pericolosa” la Direttiva Macchine intende una qualsiasi zona all’interno e/o in prossimità di una macchina in cui la presenza di una persona esposta costituisca un rischio per la sicurezza e la salute di detta persona.</w:t>
      </w:r>
    </w:p>
    <w:p w:rsidR="003673A8" w:rsidRDefault="003673A8" w:rsidP="00B678DA">
      <w:pPr>
        <w:autoSpaceDE w:val="0"/>
        <w:autoSpaceDN w:val="0"/>
        <w:adjustRightInd w:val="0"/>
        <w:rPr>
          <w:rFonts w:ascii="Verdana" w:hAnsi="Verdana" w:cs="Arial"/>
          <w:sz w:val="18"/>
          <w:szCs w:val="18"/>
        </w:rPr>
      </w:pPr>
      <w:r w:rsidRPr="003673A8">
        <w:rPr>
          <w:rFonts w:ascii="Verdana" w:hAnsi="Verdana" w:cs="Arial"/>
          <w:sz w:val="18"/>
          <w:szCs w:val="18"/>
        </w:rPr>
        <w:t xml:space="preserve"> La norma UNI EN 12453 ammette, per questi rischi, altre misure di sicurezza in alternativa a quelle indicate in tabella 1.</w:t>
      </w:r>
    </w:p>
    <w:p w:rsidR="0049269E" w:rsidRDefault="0049269E" w:rsidP="0049269E">
      <w:pPr>
        <w:autoSpaceDE w:val="0"/>
        <w:autoSpaceDN w:val="0"/>
        <w:adjustRightInd w:val="0"/>
        <w:spacing w:after="0" w:line="240" w:lineRule="auto"/>
        <w:rPr>
          <w:rFonts w:ascii="Arial" w:hAnsi="Arial" w:cs="Arial"/>
          <w:b/>
          <w:bCs/>
        </w:rPr>
      </w:pPr>
    </w:p>
    <w:p w:rsidR="0049269E" w:rsidRDefault="0049269E" w:rsidP="0049269E">
      <w:pPr>
        <w:autoSpaceDE w:val="0"/>
        <w:autoSpaceDN w:val="0"/>
        <w:adjustRightInd w:val="0"/>
        <w:spacing w:after="0" w:line="240" w:lineRule="auto"/>
        <w:rPr>
          <w:rFonts w:ascii="Arial" w:hAnsi="Arial" w:cs="Arial"/>
          <w:b/>
          <w:bCs/>
        </w:rPr>
      </w:pPr>
    </w:p>
    <w:p w:rsidR="0049269E" w:rsidRPr="0049269E" w:rsidRDefault="0049269E" w:rsidP="0049269E">
      <w:pPr>
        <w:autoSpaceDE w:val="0"/>
        <w:autoSpaceDN w:val="0"/>
        <w:adjustRightInd w:val="0"/>
        <w:spacing w:after="0" w:line="240" w:lineRule="auto"/>
        <w:rPr>
          <w:rFonts w:ascii="Verdana" w:hAnsi="Verdana" w:cs="Arial"/>
          <w:b/>
          <w:bCs/>
        </w:rPr>
      </w:pPr>
      <w:r w:rsidRPr="0049269E">
        <w:rPr>
          <w:rFonts w:ascii="Verdana" w:hAnsi="Verdana" w:cs="Arial"/>
          <w:b/>
          <w:bCs/>
        </w:rPr>
        <w:lastRenderedPageBreak/>
        <w:t>ANALISI DEI RISCHI E SCELTA DELLE SOLUZIONI</w:t>
      </w:r>
    </w:p>
    <w:p w:rsidR="0049269E" w:rsidRPr="0049269E" w:rsidRDefault="0049269E" w:rsidP="0049269E">
      <w:pPr>
        <w:autoSpaceDE w:val="0"/>
        <w:autoSpaceDN w:val="0"/>
        <w:adjustRightInd w:val="0"/>
        <w:spacing w:after="0" w:line="240" w:lineRule="auto"/>
        <w:rPr>
          <w:rFonts w:ascii="Verdana" w:hAnsi="Verdana" w:cs="Arial"/>
          <w:b/>
          <w:bCs/>
          <w:sz w:val="18"/>
          <w:szCs w:val="18"/>
        </w:rPr>
      </w:pPr>
      <w:r w:rsidRPr="0049269E">
        <w:rPr>
          <w:rFonts w:ascii="Verdana" w:hAnsi="Verdana" w:cs="Arial"/>
          <w:b/>
          <w:bCs/>
          <w:sz w:val="18"/>
          <w:szCs w:val="18"/>
        </w:rPr>
        <w:t>IN CONFORMITÀ ALLA DIRETTIVA MACCHINE (2006/42/CE)</w:t>
      </w:r>
    </w:p>
    <w:p w:rsidR="0049269E" w:rsidRPr="0049269E" w:rsidRDefault="0049269E" w:rsidP="0049269E">
      <w:pPr>
        <w:autoSpaceDE w:val="0"/>
        <w:autoSpaceDN w:val="0"/>
        <w:adjustRightInd w:val="0"/>
        <w:spacing w:after="0" w:line="240" w:lineRule="auto"/>
        <w:rPr>
          <w:rFonts w:ascii="Verdana" w:hAnsi="Verdana" w:cs="Arial"/>
          <w:b/>
          <w:bCs/>
          <w:sz w:val="18"/>
          <w:szCs w:val="18"/>
        </w:rPr>
      </w:pPr>
      <w:r w:rsidRPr="0049269E">
        <w:rPr>
          <w:rFonts w:ascii="Verdana" w:hAnsi="Verdana" w:cs="Arial"/>
          <w:b/>
          <w:bCs/>
          <w:sz w:val="18"/>
          <w:szCs w:val="18"/>
        </w:rPr>
        <w:t>E ALLE NORMATIVE EN 13241-1: 2003, EN 12453, EN 12445</w:t>
      </w:r>
    </w:p>
    <w:p w:rsidR="0049269E" w:rsidRPr="0049269E" w:rsidRDefault="0049269E" w:rsidP="0049269E">
      <w:pPr>
        <w:autoSpaceDE w:val="0"/>
        <w:autoSpaceDN w:val="0"/>
        <w:adjustRightInd w:val="0"/>
        <w:spacing w:after="0" w:line="240" w:lineRule="auto"/>
        <w:rPr>
          <w:rFonts w:ascii="Verdana" w:hAnsi="Verdana" w:cs="Arial"/>
          <w:b/>
          <w:bCs/>
          <w:sz w:val="18"/>
          <w:szCs w:val="18"/>
        </w:rPr>
      </w:pPr>
    </w:p>
    <w:p w:rsidR="0049269E" w:rsidRDefault="0049269E" w:rsidP="0049269E">
      <w:pPr>
        <w:autoSpaceDE w:val="0"/>
        <w:autoSpaceDN w:val="0"/>
        <w:adjustRightInd w:val="0"/>
        <w:spacing w:after="0" w:line="240" w:lineRule="auto"/>
        <w:rPr>
          <w:rFonts w:ascii="Verdana" w:hAnsi="Verdana" w:cs="Arial"/>
          <w:sz w:val="18"/>
          <w:szCs w:val="18"/>
        </w:rPr>
      </w:pPr>
      <w:r w:rsidRPr="0049269E">
        <w:rPr>
          <w:rFonts w:ascii="Verdana" w:hAnsi="Verdana" w:cs="Arial"/>
          <w:sz w:val="18"/>
          <w:szCs w:val="18"/>
        </w:rPr>
        <w:t>I rischi elencati di seguito sono ordinati in base alla sequenza delle attività di installazione. Tali rischi sono quelli comunemente presenti negli impianti delle porte/cancelli motorizzate; si dovrà quindi, a seconda delle diverse situazioni, considerare eventuali rischi aggiuntivi ed escludere quelli non applicabili. Le soluzioni da adottare sono quelle indicate dalle norme sopraccitate; nei casi di rischi non trattati si dovranno applicare i principi d’integrazione della sicurezza previsti dalla Direttiva Macchine (allegato 1 – 1.1.2).</w:t>
      </w:r>
    </w:p>
    <w:p w:rsidR="00AB699F" w:rsidRDefault="00AB699F" w:rsidP="0049269E">
      <w:pPr>
        <w:autoSpaceDE w:val="0"/>
        <w:autoSpaceDN w:val="0"/>
        <w:adjustRightInd w:val="0"/>
        <w:spacing w:after="0" w:line="240" w:lineRule="auto"/>
        <w:rPr>
          <w:rFonts w:ascii="Verdana" w:hAnsi="Verdana" w:cs="Arial"/>
          <w:sz w:val="18"/>
          <w:szCs w:val="18"/>
        </w:rPr>
      </w:pPr>
      <w:r>
        <w:rPr>
          <w:rFonts w:ascii="Verdana" w:hAnsi="Verdana" w:cs="Arial"/>
          <w:noProof/>
          <w:sz w:val="18"/>
          <w:szCs w:val="18"/>
          <w:lang w:eastAsia="it-IT"/>
        </w:rPr>
        <w:drawing>
          <wp:anchor distT="0" distB="0" distL="114300" distR="114300" simplePos="0" relativeHeight="251665408" behindDoc="0" locked="0" layoutInCell="1" allowOverlap="1">
            <wp:simplePos x="0" y="0"/>
            <wp:positionH relativeFrom="column">
              <wp:posOffset>-91440</wp:posOffset>
            </wp:positionH>
            <wp:positionV relativeFrom="paragraph">
              <wp:posOffset>340360</wp:posOffset>
            </wp:positionV>
            <wp:extent cx="6686550" cy="5667375"/>
            <wp:effectExtent l="19050" t="0" r="0" b="0"/>
            <wp:wrapThrough wrapText="bothSides">
              <wp:wrapPolygon edited="0">
                <wp:start x="-62" y="0"/>
                <wp:lineTo x="-62" y="21564"/>
                <wp:lineTo x="21600" y="21564"/>
                <wp:lineTo x="21600" y="0"/>
                <wp:lineTo x="-62" y="0"/>
              </wp:wrapPolygon>
            </wp:wrapThrough>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909"/>
                    <a:stretch>
                      <a:fillRect/>
                    </a:stretch>
                  </pic:blipFill>
                  <pic:spPr bwMode="auto">
                    <a:xfrm>
                      <a:off x="0" y="0"/>
                      <a:ext cx="6686550" cy="5667375"/>
                    </a:xfrm>
                    <a:prstGeom prst="rect">
                      <a:avLst/>
                    </a:prstGeom>
                    <a:noFill/>
                    <a:ln w="9525">
                      <a:noFill/>
                      <a:miter lim="800000"/>
                      <a:headEnd/>
                      <a:tailEnd/>
                    </a:ln>
                  </pic:spPr>
                </pic:pic>
              </a:graphicData>
            </a:graphic>
          </wp:anchor>
        </w:drawing>
      </w: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r>
        <w:rPr>
          <w:rFonts w:ascii="Verdana" w:hAnsi="Verdana" w:cs="Arial"/>
          <w:noProof/>
          <w:sz w:val="18"/>
          <w:szCs w:val="18"/>
          <w:lang w:eastAsia="it-IT"/>
        </w:rPr>
        <w:drawing>
          <wp:anchor distT="0" distB="0" distL="114300" distR="114300" simplePos="0" relativeHeight="251666432" behindDoc="0" locked="0" layoutInCell="1" allowOverlap="1">
            <wp:simplePos x="0" y="0"/>
            <wp:positionH relativeFrom="column">
              <wp:posOffset>-53340</wp:posOffset>
            </wp:positionH>
            <wp:positionV relativeFrom="paragraph">
              <wp:posOffset>53340</wp:posOffset>
            </wp:positionV>
            <wp:extent cx="6267450" cy="8743950"/>
            <wp:effectExtent l="19050" t="0" r="0" b="0"/>
            <wp:wrapThrough wrapText="bothSides">
              <wp:wrapPolygon edited="0">
                <wp:start x="-66" y="0"/>
                <wp:lineTo x="-66" y="21553"/>
                <wp:lineTo x="21600" y="21553"/>
                <wp:lineTo x="21600" y="0"/>
                <wp:lineTo x="-66" y="0"/>
              </wp:wrapPolygon>
            </wp:wrapThrough>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r="3700"/>
                    <a:stretch>
                      <a:fillRect/>
                    </a:stretch>
                  </pic:blipFill>
                  <pic:spPr bwMode="auto">
                    <a:xfrm>
                      <a:off x="0" y="0"/>
                      <a:ext cx="6267450" cy="8743950"/>
                    </a:xfrm>
                    <a:prstGeom prst="rect">
                      <a:avLst/>
                    </a:prstGeom>
                    <a:noFill/>
                    <a:ln w="9525">
                      <a:noFill/>
                      <a:miter lim="800000"/>
                      <a:headEnd/>
                      <a:tailEnd/>
                    </a:ln>
                  </pic:spPr>
                </pic:pic>
              </a:graphicData>
            </a:graphic>
          </wp:anchor>
        </w:drawing>
      </w: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r>
        <w:rPr>
          <w:rFonts w:ascii="Verdana" w:hAnsi="Verdana" w:cs="Arial"/>
          <w:noProof/>
          <w:sz w:val="18"/>
          <w:szCs w:val="18"/>
          <w:lang w:eastAsia="it-IT"/>
        </w:rPr>
        <w:lastRenderedPageBreak/>
        <w:drawing>
          <wp:anchor distT="0" distB="0" distL="114300" distR="114300" simplePos="0" relativeHeight="251667456" behindDoc="0" locked="0" layoutInCell="1" allowOverlap="1">
            <wp:simplePos x="0" y="0"/>
            <wp:positionH relativeFrom="column">
              <wp:posOffset>-205740</wp:posOffset>
            </wp:positionH>
            <wp:positionV relativeFrom="paragraph">
              <wp:posOffset>207645</wp:posOffset>
            </wp:positionV>
            <wp:extent cx="6723380" cy="8991600"/>
            <wp:effectExtent l="19050" t="0" r="1270" b="0"/>
            <wp:wrapThrough wrapText="bothSides">
              <wp:wrapPolygon edited="0">
                <wp:start x="-61" y="0"/>
                <wp:lineTo x="-61" y="21554"/>
                <wp:lineTo x="21604" y="21554"/>
                <wp:lineTo x="21604" y="0"/>
                <wp:lineTo x="-61" y="0"/>
              </wp:wrapPolygon>
            </wp:wrapThrough>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723380" cy="8991600"/>
                    </a:xfrm>
                    <a:prstGeom prst="rect">
                      <a:avLst/>
                    </a:prstGeom>
                    <a:noFill/>
                    <a:ln w="9525">
                      <a:noFill/>
                      <a:miter lim="800000"/>
                      <a:headEnd/>
                      <a:tailEnd/>
                    </a:ln>
                  </pic:spPr>
                </pic:pic>
              </a:graphicData>
            </a:graphic>
          </wp:anchor>
        </w:drawing>
      </w: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r>
        <w:rPr>
          <w:rFonts w:ascii="Verdana" w:hAnsi="Verdana" w:cs="Arial"/>
          <w:noProof/>
          <w:sz w:val="18"/>
          <w:szCs w:val="18"/>
          <w:lang w:eastAsia="it-IT"/>
        </w:rPr>
        <w:lastRenderedPageBreak/>
        <w:drawing>
          <wp:anchor distT="0" distB="0" distL="114300" distR="114300" simplePos="0" relativeHeight="251668480" behindDoc="0" locked="0" layoutInCell="1" allowOverlap="1">
            <wp:simplePos x="0" y="0"/>
            <wp:positionH relativeFrom="column">
              <wp:posOffset>-129540</wp:posOffset>
            </wp:positionH>
            <wp:positionV relativeFrom="paragraph">
              <wp:posOffset>-1905</wp:posOffset>
            </wp:positionV>
            <wp:extent cx="6494145" cy="9191625"/>
            <wp:effectExtent l="19050" t="0" r="1905" b="0"/>
            <wp:wrapThrough wrapText="bothSides">
              <wp:wrapPolygon edited="0">
                <wp:start x="-63" y="0"/>
                <wp:lineTo x="-63" y="21578"/>
                <wp:lineTo x="21606" y="21578"/>
                <wp:lineTo x="21606" y="0"/>
                <wp:lineTo x="-63" y="0"/>
              </wp:wrapPolygon>
            </wp:wrapThrough>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494145" cy="9191625"/>
                    </a:xfrm>
                    <a:prstGeom prst="rect">
                      <a:avLst/>
                    </a:prstGeom>
                    <a:noFill/>
                    <a:ln w="9525">
                      <a:noFill/>
                      <a:miter lim="800000"/>
                      <a:headEnd/>
                      <a:tailEnd/>
                    </a:ln>
                  </pic:spPr>
                </pic:pic>
              </a:graphicData>
            </a:graphic>
          </wp:anchor>
        </w:drawing>
      </w:r>
    </w:p>
    <w:p w:rsidR="00AB699F" w:rsidRDefault="00AB699F" w:rsidP="0049269E">
      <w:pPr>
        <w:autoSpaceDE w:val="0"/>
        <w:autoSpaceDN w:val="0"/>
        <w:adjustRightInd w:val="0"/>
        <w:spacing w:after="0" w:line="240" w:lineRule="auto"/>
        <w:rPr>
          <w:rFonts w:ascii="Verdana" w:hAnsi="Verdana" w:cs="Arial"/>
          <w:sz w:val="18"/>
          <w:szCs w:val="18"/>
        </w:rPr>
      </w:pPr>
    </w:p>
    <w:p w:rsidR="00AB699F" w:rsidRDefault="00AB699F" w:rsidP="0049269E">
      <w:pPr>
        <w:autoSpaceDE w:val="0"/>
        <w:autoSpaceDN w:val="0"/>
        <w:adjustRightInd w:val="0"/>
        <w:spacing w:after="0" w:line="240" w:lineRule="auto"/>
        <w:rPr>
          <w:rFonts w:ascii="Verdana" w:hAnsi="Verdana" w:cs="Arial"/>
          <w:sz w:val="18"/>
          <w:szCs w:val="18"/>
        </w:rPr>
      </w:pPr>
      <w:r>
        <w:rPr>
          <w:rFonts w:ascii="Verdana" w:hAnsi="Verdana" w:cs="Arial"/>
          <w:noProof/>
          <w:sz w:val="18"/>
          <w:szCs w:val="18"/>
          <w:lang w:eastAsia="it-IT"/>
        </w:rPr>
        <w:lastRenderedPageBreak/>
        <w:drawing>
          <wp:anchor distT="0" distB="0" distL="114300" distR="114300" simplePos="0" relativeHeight="251669504" behindDoc="0" locked="0" layoutInCell="1" allowOverlap="1">
            <wp:simplePos x="0" y="0"/>
            <wp:positionH relativeFrom="column">
              <wp:posOffset>-243840</wp:posOffset>
            </wp:positionH>
            <wp:positionV relativeFrom="paragraph">
              <wp:posOffset>-1905</wp:posOffset>
            </wp:positionV>
            <wp:extent cx="6684010" cy="8077200"/>
            <wp:effectExtent l="19050" t="0" r="2540" b="0"/>
            <wp:wrapThrough wrapText="bothSides">
              <wp:wrapPolygon edited="0">
                <wp:start x="-62" y="0"/>
                <wp:lineTo x="-62" y="21549"/>
                <wp:lineTo x="21608" y="21549"/>
                <wp:lineTo x="21608" y="0"/>
                <wp:lineTo x="-62" y="0"/>
              </wp:wrapPolygon>
            </wp:wrapThrough>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684010" cy="8077200"/>
                    </a:xfrm>
                    <a:prstGeom prst="rect">
                      <a:avLst/>
                    </a:prstGeom>
                    <a:noFill/>
                    <a:ln w="9525">
                      <a:noFill/>
                      <a:miter lim="800000"/>
                      <a:headEnd/>
                      <a:tailEnd/>
                    </a:ln>
                  </pic:spPr>
                </pic:pic>
              </a:graphicData>
            </a:graphic>
          </wp:anchor>
        </w:drawing>
      </w:r>
    </w:p>
    <w:p w:rsidR="00AB699F" w:rsidRPr="0049269E" w:rsidRDefault="00AB699F" w:rsidP="0049269E">
      <w:pPr>
        <w:autoSpaceDE w:val="0"/>
        <w:autoSpaceDN w:val="0"/>
        <w:adjustRightInd w:val="0"/>
        <w:spacing w:after="0" w:line="240" w:lineRule="auto"/>
        <w:rPr>
          <w:rFonts w:ascii="Verdana" w:hAnsi="Verdana" w:cs="Arial"/>
          <w:sz w:val="18"/>
          <w:szCs w:val="18"/>
        </w:rPr>
      </w:pPr>
    </w:p>
    <w:sectPr w:rsidR="00AB699F" w:rsidRPr="0049269E" w:rsidSect="00B678DA">
      <w:pgSz w:w="11906" w:h="16838"/>
      <w:pgMar w:top="993"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2217C"/>
    <w:multiLevelType w:val="hybridMultilevel"/>
    <w:tmpl w:val="851870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B9361A3"/>
    <w:multiLevelType w:val="hybridMultilevel"/>
    <w:tmpl w:val="FC2E3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2616393"/>
    <w:multiLevelType w:val="hybridMultilevel"/>
    <w:tmpl w:val="AC3287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80731EB"/>
    <w:multiLevelType w:val="hybridMultilevel"/>
    <w:tmpl w:val="94D42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673A8"/>
    <w:rsid w:val="003673A8"/>
    <w:rsid w:val="0049269E"/>
    <w:rsid w:val="0077592F"/>
    <w:rsid w:val="00AB699F"/>
    <w:rsid w:val="00B678DA"/>
    <w:rsid w:val="00B7483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592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673A8"/>
    <w:pPr>
      <w:ind w:left="720"/>
      <w:contextualSpacing/>
    </w:pPr>
  </w:style>
  <w:style w:type="paragraph" w:styleId="Testofumetto">
    <w:name w:val="Balloon Text"/>
    <w:basedOn w:val="Normale"/>
    <w:link w:val="TestofumettoCarattere"/>
    <w:uiPriority w:val="99"/>
    <w:semiHidden/>
    <w:unhideWhenUsed/>
    <w:rsid w:val="003673A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73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1042</Words>
  <Characters>5940</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messina.a</dc:creator>
  <cp:keywords/>
  <dc:description/>
  <cp:lastModifiedBy>messina.a</cp:lastModifiedBy>
  <cp:revision>3</cp:revision>
  <dcterms:created xsi:type="dcterms:W3CDTF">2013-10-17T10:23:00Z</dcterms:created>
  <dcterms:modified xsi:type="dcterms:W3CDTF">2013-10-18T07:41:00Z</dcterms:modified>
</cp:coreProperties>
</file>